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26-66</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64</w:t>
      </w:r>
    </w:p>
    <w:p>
      <w:pPr>
        <w:spacing w:before="0" w:after="0" w:line="480"/>
        <w:ind w:left="120"/>
        <w:jc w:val="center"/>
      </w:pPr>
      <w:r>
        <w:rPr>
          <w:rFonts w:ascii="Times New Roman" w:hAnsi="Times New Roman"/>
          <w:b w:val="false"/>
          <w:i w:val="false"/>
          <w:color w:val="000000"/>
          <w:sz w:val="24"/>
        </w:rPr>
        <w:t>“Individual Development Account (IDA)”</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541A.5</w:t>
      </w:r>
    </w:p>
    <w:p>
      <w:pPr>
        <w:spacing w:before="0" w:after="0" w:line="480"/>
        <w:ind w:left="120"/>
        <w:jc w:val="both"/>
      </w:pPr>
      <w:r>
        <w:rPr>
          <w:rFonts w:ascii="Times New Roman" w:hAnsi="Times New Roman"/>
          <w:b w:val="false"/>
          <w:i w:val="false"/>
          <w:color w:val="000000"/>
          <w:sz w:val="24"/>
        </w:rPr>
        <w:t>State or federal law(s) implemented by the rulemaking: Iowa Code section 541A.5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 2026</w:t>
            </w:r>
            <w:r>
              <w:br/>
            </w:r>
            <w:r>
              <w:rPr>
                <w:rFonts w:ascii="Times New Roman" w:hAnsi="Times New Roman"/>
                <w:b w:val="false"/>
                <w:i w:val="false"/>
                <w:color w:val="000000"/>
                <w:sz w:val="21"/>
              </w:rPr>
              <w:t>10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Microsoft Teams</w:t>
            </w:r>
            <w:r>
              <w:br/>
            </w:r>
            <w:r>
              <w:rPr>
                <w:rFonts w:ascii="Times New Roman" w:hAnsi="Times New Roman"/>
                <w:b w:val="false"/>
                <w:i w:val="false"/>
                <w:color w:val="000000"/>
                <w:sz w:val="21"/>
              </w:rPr>
              <w:t>Meeting ID: 292 485 993 110 827</w:t>
            </w:r>
            <w:r>
              <w:br/>
            </w:r>
            <w:r>
              <w:rPr>
                <w:rFonts w:ascii="Times New Roman" w:hAnsi="Times New Roman"/>
                <w:b w:val="false"/>
                <w:i w:val="false"/>
                <w:color w:val="000000"/>
                <w:sz w:val="21"/>
              </w:rPr>
              <w:t>Passcode: SZ3ZF7WH</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023"/>
      </w:tblGrid>
      <w:tr>
        <w:trPr>
          <w:trHeight w:val="2430" w:hRule="atLeast"/>
        </w:trPr>
        <w:tc>
          <w:tcPr>
            <w:tcW w:w="50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Victoria L. Daniels</w:t>
            </w:r>
            <w:r>
              <w:br/>
            </w:r>
            <w:r>
              <w:rPr>
                <w:rFonts w:ascii="Times New Roman" w:hAnsi="Times New Roman"/>
                <w:b w:val="false"/>
                <w:i w:val="false"/>
                <w:color w:val="000000"/>
                <w:sz w:val="21"/>
              </w:rPr>
              <w:t>321 East 12th Street</w:t>
            </w:r>
            <w:r>
              <w:br/>
            </w:r>
            <w:r>
              <w:rPr>
                <w:rFonts w:ascii="Times New Roman" w:hAnsi="Times New Roman"/>
                <w:b w:val="false"/>
                <w:i w:val="false"/>
                <w:color w:val="000000"/>
                <w:sz w:val="21"/>
              </w:rPr>
              <w:t>Des Moines, Iowa 50319</w:t>
            </w:r>
            <w:r>
              <w:br/>
            </w:r>
            <w:r>
              <w:rPr>
                <w:rFonts w:ascii="Times New Roman" w:hAnsi="Times New Roman"/>
                <w:b w:val="false"/>
                <w:i w:val="false"/>
                <w:color w:val="000000"/>
                <w:sz w:val="21"/>
              </w:rPr>
              <w:t>Phone: 515.829.6021</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chapter is to outline the Department’s administration of the Individual Development Account program outlined in Iowa Code chapter 541A. The program has not been funded since SFY 2016.</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removed redundant or duplicative information and restrictive terms and added dates certain. The Department is concurrently rescinding 421—Chapter 25 (</w:t>
      </w:r>
      <w:r>
        <w:rPr>
          <w:rFonts w:ascii="Times New Roman" w:hAnsi="Times New Roman"/>
          <w:b/>
          <w:i w:val="false"/>
          <w:color w:val="000000"/>
          <w:sz w:val="24"/>
        </w:rPr>
        <w:t>RA 26-62</w:t>
      </w:r>
      <w:r>
        <w:rPr>
          <w:rFonts w:ascii="Times New Roman" w:hAnsi="Times New Roman"/>
          <w:b w:val="false"/>
          <w:i w:val="false"/>
          <w:color w:val="000000"/>
          <w:sz w:val="24"/>
        </w:rPr>
        <w:t>, 5/13/26), which was the legacy Department of Human Rights chapter that corresponds to this new proposed chapter in agency [441].</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Because this program is not funded, there is no particular benefit to anyone from this proposed rulemaking. Rulemaking is required by Iowa Code section 514A.5.</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proposed rulemaking has no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has no qualitative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currently does not implement the proposed chapter because the program is not funded.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section 514A.5.</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Rulemaking is required by Iowa Code section 514A.5.</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64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64</w:t>
      </w:r>
    </w:p>
    <w:p>
      <w:pPr>
        <w:spacing w:before="0" w:after="0" w:line="480"/>
        <w:ind w:left="120"/>
        <w:jc w:val="center"/>
      </w:pPr>
      <w:r>
        <w:rPr>
          <w:rFonts w:ascii="Times New Roman" w:hAnsi="Times New Roman"/>
          <w:b w:val="false"/>
          <w:i w:val="false"/>
          <w:color w:val="000000"/>
          <w:sz w:val="21"/>
        </w:rPr>
        <w:t>INDIVIDUAL DEVELOPMENT ACCOUNT (IDA)</w:t>
      </w:r>
    </w:p>
    <w:p>
      <w:pPr>
        <w:spacing w:before="0" w:after="0" w:line="480"/>
        <w:ind w:left="120"/>
        <w:jc w:val="both"/>
      </w:pPr>
      <w:r>
        <w:rPr>
          <w:rFonts w:ascii="Times New Roman" w:hAnsi="Times New Roman"/>
          <w:b/>
          <w:i w:val="false"/>
          <w:color w:val="000000"/>
          <w:sz w:val="24"/>
        </w:rPr>
        <w:t>441—64.1</w:t>
      </w:r>
      <w:r>
        <w:rPr>
          <w:rFonts w:ascii="Times New Roman" w:hAnsi="Times New Roman"/>
          <w:b/>
          <w:i w:val="false"/>
          <w:color w:val="000000"/>
          <w:sz w:val="24"/>
        </w:rPr>
        <w:t xml:space="preserve">(541A)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these rules,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“Account holder”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541A.1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“Charitable contributor”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individual, company or organization that makes a contribution through a nonprofit association described in </w:t>
      </w:r>
      <w:r>
        <w:rPr>
          <w:rFonts w:ascii="Times New Roman" w:hAnsi="Times New Roman"/>
          <w:b w:val="false"/>
          <w:i w:val="false"/>
          <w:color w:val="000000"/>
          <w:sz w:val="24"/>
        </w:rPr>
        <w:t>Section 501(c)(3) of the Internal Revenue Code</w:t>
      </w:r>
      <w:r>
        <w:rPr>
          <w:rFonts w:ascii="Times New Roman" w:hAnsi="Times New Roman"/>
          <w:b w:val="false"/>
          <w:i w:val="false"/>
          <w:color w:val="000000"/>
          <w:sz w:val="24"/>
        </w:rPr>
        <w:t xml:space="preserve"> as amended to August 1, 2026, which association makes a deposit to an individual development account and which association is exempt from taxation under </w:t>
      </w:r>
      <w:r>
        <w:rPr>
          <w:rFonts w:ascii="Times New Roman" w:hAnsi="Times New Roman"/>
          <w:b w:val="false"/>
          <w:i w:val="false"/>
          <w:color w:val="000000"/>
          <w:sz w:val="24"/>
        </w:rPr>
        <w:t>Section 501(a) of the Internal Revenue Code</w:t>
      </w:r>
      <w:r>
        <w:rPr>
          <w:rFonts w:ascii="Times New Roman" w:hAnsi="Times New Roman"/>
          <w:b w:val="false"/>
          <w:i w:val="false"/>
          <w:color w:val="000000"/>
          <w:sz w:val="24"/>
        </w:rPr>
        <w:t xml:space="preserv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“Federal poverty level”</w:t>
      </w:r>
      <w:r>
        <w:rPr>
          <w:rFonts w:ascii="Times New Roman" w:hAnsi="Times New Roman"/>
          <w:b w:val="false"/>
          <w:i/>
          <w:color w:val="000000"/>
          <w:sz w:val="24"/>
          <w:u w:val="single"/>
        </w:rPr>
        <w:t> </w:t>
      </w:r>
      <w:r>
        <w:rPr>
          <w:rFonts w:ascii="Times New Roman" w:hAnsi="Times New Roman"/>
          <w:b w:val="false"/>
          <w:i w:val="false"/>
          <w:color w:val="000000"/>
          <w:sz w:val="24"/>
        </w:rPr>
        <w:t>means the poverty income guidelines established annually for a calendar year and published in the Federal Register by the U.S.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institution”</w:t>
      </w:r>
      <w:r>
        <w:rPr>
          <w:rFonts w:ascii="Times New Roman" w:hAnsi="Times New Roman"/>
          <w:b w:val="false"/>
          <w:i/>
          <w:color w:val="000000"/>
          <w:sz w:val="24"/>
          <w:u w:val="single"/>
        </w:rPr>
        <w:t> </w:t>
      </w:r>
      <w:r>
        <w:rPr>
          <w:rFonts w:ascii="Times New Roman" w:hAnsi="Times New Roman"/>
          <w:b w:val="false"/>
          <w:i w:val="false"/>
          <w:color w:val="000000"/>
          <w:sz w:val="24"/>
        </w:rPr>
        <w:t>means a financial institution, including but not limited to a bank, savings and loan, or credit union, approved by the department to accept individual development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w:t>
      </w:r>
      <w:r>
        <w:rPr>
          <w:rFonts w:ascii="Times New Roman" w:hAnsi="Times New Roman"/>
          <w:b w:val="false"/>
          <w:i/>
          <w:color w:val="000000"/>
          <w:sz w:val="24"/>
          <w:u w:val="single"/>
        </w:rPr>
        <w:t> </w:t>
      </w:r>
      <w:r>
        <w:rPr>
          <w:rFonts w:ascii="Times New Roman" w:hAnsi="Times New Roman"/>
          <w:b w:val="false"/>
          <w:i w:val="false"/>
          <w:color w:val="000000"/>
          <w:sz w:val="24"/>
        </w:rPr>
        <w:t>means the adults who are related by blood, marriage or adoption or who are unrelated but have maintained a stable family relationship together over a period of time and the individuals who are under 18 years of age related to the above adults by marriage, blood or adoption who are living together. “Living together” refers to domicile as evidenced by the parties’ intent to maintain a home for their family and does not include a temporary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contributor”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541A.1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development account”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“IDA”</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investment account that has the characteristics described in Iowa Code section </w:t>
      </w:r>
      <w:hyperlink r:id="rId7">
        <w:r>
          <w:rPr>
            <w:rStyle w:val="Hyperlink"/>
            <w:rFonts w:ascii="Times New Roman" w:hAnsi="Times New Roman"/>
            <w:b w:val="false"/>
            <w:i w:val="false"/>
            <w:color w:val="000000"/>
            <w:sz w:val="24"/>
          </w:rPr>
          <w:t>541A.2</w:t>
        </w:r>
      </w:hyperlink>
      <w:r>
        <w:rPr>
          <w:rFonts w:ascii="Times New Roman" w:hAnsi="Times New Roman"/>
          <w:b w:val="false"/>
          <w:i w:val="false"/>
          <w:color w:val="000000"/>
          <w:sz w:val="24"/>
        </w:rPr>
        <w:t xml:space="preserve"> and is operated by the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development account state match fund”</w:t>
      </w:r>
      <w:r>
        <w:rPr>
          <w:rFonts w:ascii="Times New Roman" w:hAnsi="Times New Roman"/>
          <w:b w:val="false"/>
          <w:i/>
          <w:color w:val="000000"/>
          <w:sz w:val="24"/>
          <w:u w:val="single"/>
        </w:rPr>
        <w:t> </w:t>
      </w:r>
      <w:r>
        <w:rPr>
          <w:rFonts w:ascii="Times New Roman" w:hAnsi="Times New Roman"/>
          <w:b w:val="false"/>
          <w:i w:val="false"/>
          <w:color w:val="000000"/>
          <w:sz w:val="24"/>
        </w:rPr>
        <w:t>means the fund established in the state treasury under the authority of the department into which are deposited funds for payment to operating organizations for state match payments to individual investment accounts and administrative costs to implement the individual investment account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“Minor account holder”</w:t>
      </w:r>
      <w:r>
        <w:rPr>
          <w:rFonts w:ascii="Times New Roman" w:hAnsi="Times New Roman"/>
          <w:b w:val="false"/>
          <w:i/>
          <w:color w:val="000000"/>
          <w:sz w:val="24"/>
          <w:u w:val="single"/>
        </w:rPr>
        <w:t> </w:t>
      </w:r>
      <w:r>
        <w:rPr>
          <w:rFonts w:ascii="Times New Roman" w:hAnsi="Times New Roman"/>
          <w:b w:val="false"/>
          <w:i w:val="false"/>
          <w:color w:val="000000"/>
          <w:sz w:val="24"/>
        </w:rPr>
        <w:t>means an account holder who is younger than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“Operating organization”</w:t>
      </w:r>
      <w:r>
        <w:rPr>
          <w:rFonts w:ascii="Times New Roman" w:hAnsi="Times New Roman"/>
          <w:b w:val="false"/>
          <w:i/>
          <w:color w:val="000000"/>
          <w:sz w:val="24"/>
          <w:u w:val="single"/>
        </w:rPr>
        <w:t> </w:t>
      </w:r>
      <w:r>
        <w:rPr>
          <w:rFonts w:ascii="Times New Roman" w:hAnsi="Times New Roman"/>
          <w:b w:val="false"/>
          <w:i w:val="false"/>
          <w:color w:val="000000"/>
          <w:sz w:val="24"/>
        </w:rPr>
        <w:t>means an entity selected by the department for involvement in operating individual development accounts directed to the eligible target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 of principal”</w:t>
      </w:r>
      <w:r>
        <w:rPr>
          <w:rFonts w:ascii="Times New Roman" w:hAnsi="Times New Roman"/>
          <w:b w:val="false"/>
          <w:i/>
          <w:color w:val="000000"/>
          <w:sz w:val="24"/>
          <w:u w:val="single"/>
        </w:rPr>
        <w:t> </w:t>
      </w:r>
      <w:r>
        <w:rPr>
          <w:rFonts w:ascii="Times New Roman" w:hAnsi="Times New Roman"/>
          <w:b w:val="false"/>
          <w:i w:val="false"/>
          <w:color w:val="000000"/>
          <w:sz w:val="24"/>
        </w:rPr>
        <w:t>means any of the following sources of a deposit: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Deposits made by the account holder.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Deposits of state match payments.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Deposits of individual development account moneys that are transferred from another individual development account holder. The moneys transferred from another individual development account will be considered to be a deposit of principal made by the account holder.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Deposits made on behalf of the account holder by an individual contributor or a charitable contributor.</w:t>
      </w:r>
    </w:p>
    <w:p>
      <w:pPr>
        <w:spacing w:before="0" w:after="0" w:line="480"/>
        <w:ind w:left="120"/>
        <w:jc w:val="both"/>
      </w:pPr>
      <w:r>
        <w:rPr>
          <w:rFonts w:ascii="Times New Roman" w:hAnsi="Times New Roman"/>
          <w:b/>
          <w:i w:val="false"/>
          <w:color w:val="000000"/>
          <w:sz w:val="24"/>
        </w:rPr>
        <w:t>441—64.2</w:t>
      </w:r>
      <w:r>
        <w:rPr>
          <w:rFonts w:ascii="Times New Roman" w:hAnsi="Times New Roman"/>
          <w:b/>
          <w:i w:val="false"/>
          <w:color w:val="000000"/>
          <w:sz w:val="24"/>
        </w:rPr>
        <w:t xml:space="preserve">(541A) </w:t>
      </w:r>
      <w:r>
        <w:rPr>
          <w:rFonts w:ascii="Times New Roman" w:hAnsi="Times New Roman"/>
          <w:b/>
          <w:i w:val="false"/>
          <w:color w:val="000000"/>
          <w:sz w:val="24"/>
        </w:rPr>
        <w:t xml:space="preserve">Establishment of individual development accounts. </w:t>
      </w:r>
      <w:r>
        <w:rPr>
          <w:rFonts w:ascii="Times New Roman" w:hAnsi="Times New Roman"/>
          <w:b w:val="false"/>
          <w:i w:val="false"/>
          <w:color w:val="000000"/>
          <w:sz w:val="24"/>
        </w:rPr>
        <w:t>An investment account qualifies as an IDA when it is established and operates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w:t>
      </w:r>
      <w:r>
        <w:rPr>
          <w:rFonts w:ascii="Times New Roman" w:hAnsi="Times New Roman"/>
          <w:b w:val="false"/>
          <w:i w:val="false"/>
          <w:color w:val="000000"/>
          <w:sz w:val="24"/>
        </w:rPr>
        <w:t> </w:t>
      </w:r>
      <w:r>
        <w:rPr>
          <w:rFonts w:ascii="Times New Roman" w:hAnsi="Times New Roman"/>
          <w:b w:val="false"/>
          <w:i/>
          <w:color w:val="000000"/>
          <w:sz w:val="24"/>
        </w:rPr>
        <w:t xml:space="preserve">Operating organization. </w:t>
      </w:r>
      <w:r>
        <w:rPr>
          <w:rFonts w:ascii="Times New Roman" w:hAnsi="Times New Roman"/>
          <w:b w:val="false"/>
          <w:i w:val="false"/>
          <w:color w:val="000000"/>
          <w:sz w:val="24"/>
        </w:rPr>
        <w:t>The investment account shall be established through an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64.2(2)</w:t>
      </w:r>
      <w:r>
        <w:rPr>
          <w:rFonts w:ascii="Times New Roman" w:hAnsi="Times New Roman"/>
          <w:b w:val="false"/>
          <w:i w:val="false"/>
          <w:color w:val="000000"/>
          <w:sz w:val="24"/>
        </w:rPr>
        <w:t> </w:t>
      </w:r>
      <w:r>
        <w:rPr>
          <w:rFonts w:ascii="Times New Roman" w:hAnsi="Times New Roman"/>
          <w:b w:val="false"/>
          <w:i/>
          <w:color w:val="000000"/>
          <w:sz w:val="24"/>
        </w:rPr>
        <w:t xml:space="preserve">Account. </w:t>
      </w:r>
      <w:r>
        <w:rPr>
          <w:rFonts w:ascii="Times New Roman" w:hAnsi="Times New Roman"/>
          <w:b w:val="false"/>
          <w:i w:val="false"/>
          <w:color w:val="000000"/>
          <w:sz w:val="24"/>
        </w:rPr>
        <w:t>The account shall be opened at a financial institution and kept in the name of an individual account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64.2(3)</w:t>
      </w:r>
      <w:r>
        <w:rPr>
          <w:rFonts w:ascii="Times New Roman" w:hAnsi="Times New Roman"/>
          <w:b w:val="false"/>
          <w:i w:val="false"/>
          <w:color w:val="000000"/>
          <w:sz w:val="24"/>
        </w:rPr>
        <w:t> </w:t>
      </w:r>
      <w:r>
        <w:rPr>
          <w:rFonts w:ascii="Times New Roman" w:hAnsi="Times New Roman"/>
          <w:b w:val="false"/>
          <w:i/>
          <w:color w:val="000000"/>
          <w:sz w:val="24"/>
        </w:rPr>
        <w:t xml:space="preserve">Deposits. </w:t>
      </w:r>
      <w:r>
        <w:rPr>
          <w:rFonts w:ascii="Times New Roman" w:hAnsi="Times New Roman"/>
          <w:b w:val="false"/>
          <w:i w:val="false"/>
          <w:color w:val="000000"/>
          <w:sz w:val="24"/>
        </w:rPr>
        <w:t xml:space="preserve">Deposits made to an IDA are also known as sources of principal and shall be made in any of the manners indicated in the definition of “source of principal” in rule </w:t>
      </w:r>
      <w:hyperlink r:id="rId8">
        <w:r>
          <w:rPr>
            <w:rStyle w:val="Hyperlink"/>
            <w:rFonts w:ascii="Times New Roman" w:hAnsi="Times New Roman"/>
            <w:b w:val="false"/>
            <w:i w:val="false"/>
            <w:color w:val="000000"/>
            <w:sz w:val="24"/>
          </w:rPr>
          <w:t>441—64.1</w:t>
        </w:r>
      </w:hyperlink>
      <w:r>
        <w:rPr>
          <w:rFonts w:ascii="Times New Roman" w:hAnsi="Times New Roman"/>
          <w:b w:val="false"/>
          <w:i w:val="false"/>
          <w:color w:val="000000"/>
          <w:sz w:val="24"/>
        </w:rPr>
        <w:t>(541A).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64.2(4)</w:t>
      </w:r>
      <w:r>
        <w:rPr>
          <w:rFonts w:ascii="Times New Roman" w:hAnsi="Times New Roman"/>
          <w:b w:val="false"/>
          <w:i w:val="false"/>
          <w:color w:val="000000"/>
          <w:sz w:val="24"/>
        </w:rPr>
        <w:t> </w:t>
      </w:r>
      <w:r>
        <w:rPr>
          <w:rFonts w:ascii="Times New Roman" w:hAnsi="Times New Roman"/>
          <w:b w:val="false"/>
          <w:i/>
          <w:color w:val="000000"/>
          <w:sz w:val="24"/>
        </w:rPr>
        <w:t xml:space="preserve">Investment of funds. </w:t>
      </w:r>
      <w:r>
        <w:rPr>
          <w:rFonts w:ascii="Times New Roman" w:hAnsi="Times New Roman"/>
          <w:b w:val="false"/>
          <w:i w:val="false"/>
          <w:color w:val="000000"/>
          <w:sz w:val="24"/>
        </w:rPr>
        <w:t>The funds deposited in the IDA may be invested in any investment that the financial institution is authorized to offer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64.2(5)</w:t>
      </w:r>
      <w:r>
        <w:rPr>
          <w:rFonts w:ascii="Times New Roman" w:hAnsi="Times New Roman"/>
          <w:b w:val="false"/>
          <w:i w:val="false"/>
          <w:color w:val="000000"/>
          <w:sz w:val="24"/>
        </w:rPr>
        <w:t> </w:t>
      </w:r>
      <w:r>
        <w:rPr>
          <w:rFonts w:ascii="Times New Roman" w:hAnsi="Times New Roman"/>
          <w:b w:val="false"/>
          <w:i/>
          <w:color w:val="000000"/>
          <w:sz w:val="24"/>
        </w:rPr>
        <w:t xml:space="preserve">Income. </w:t>
      </w:r>
      <w:r>
        <w:rPr>
          <w:rFonts w:ascii="Times New Roman" w:hAnsi="Times New Roman"/>
          <w:b w:val="false"/>
          <w:i w:val="false"/>
          <w:color w:val="000000"/>
          <w:sz w:val="24"/>
        </w:rPr>
        <w:t>The account earns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64.2(6)</w:t>
      </w:r>
      <w:r>
        <w:rPr>
          <w:rFonts w:ascii="Times New Roman" w:hAnsi="Times New Roman"/>
          <w:b w:val="false"/>
          <w:i w:val="false"/>
          <w:color w:val="000000"/>
          <w:sz w:val="24"/>
        </w:rPr>
        <w:t> </w:t>
      </w:r>
      <w:r>
        <w:rPr>
          <w:rFonts w:ascii="Times New Roman" w:hAnsi="Times New Roman"/>
          <w:b w:val="false"/>
          <w:i/>
          <w:color w:val="000000"/>
          <w:sz w:val="24"/>
        </w:rPr>
        <w:t xml:space="preserve">Maximum deposits of principal. </w:t>
      </w:r>
      <w:r>
        <w:rPr>
          <w:rFonts w:ascii="Times New Roman" w:hAnsi="Times New Roman"/>
          <w:b w:val="false"/>
          <w:i w:val="false"/>
          <w:color w:val="000000"/>
          <w:sz w:val="24"/>
        </w:rPr>
        <w:t>The total of all sources of principal in an individual development account may not exceed $30,000.</w:t>
      </w:r>
    </w:p>
    <w:p>
      <w:pPr>
        <w:spacing w:before="0" w:after="0" w:line="480"/>
        <w:ind w:left="120"/>
        <w:jc w:val="both"/>
      </w:pPr>
      <w:r>
        <w:rPr>
          <w:rFonts w:ascii="Times New Roman" w:hAnsi="Times New Roman"/>
          <w:b/>
          <w:i w:val="false"/>
          <w:color w:val="000000"/>
          <w:sz w:val="24"/>
        </w:rPr>
        <w:t>441—64.3</w:t>
      </w:r>
      <w:r>
        <w:rPr>
          <w:rFonts w:ascii="Times New Roman" w:hAnsi="Times New Roman"/>
          <w:b/>
          <w:i w:val="false"/>
          <w:color w:val="000000"/>
          <w:sz w:val="24"/>
        </w:rPr>
        <w:t xml:space="preserve">(541A) </w:t>
      </w:r>
      <w:r>
        <w:rPr>
          <w:rFonts w:ascii="Times New Roman" w:hAnsi="Times New Roman"/>
          <w:b/>
          <w:i w:val="false"/>
          <w:color w:val="000000"/>
          <w:sz w:val="24"/>
        </w:rPr>
        <w:t xml:space="preserve">Eligibility, state match payments, and state tax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64.3(1)</w:t>
      </w:r>
      <w:r>
        <w:rPr>
          <w:rFonts w:ascii="Times New Roman" w:hAnsi="Times New Roman"/>
          <w:b w:val="false"/>
          <w:i w:val="false"/>
          <w:color w:val="000000"/>
          <w:sz w:val="24"/>
        </w:rPr>
        <w:t> </w:t>
      </w:r>
      <w:r>
        <w:rPr>
          <w:rFonts w:ascii="Times New Roman" w:hAnsi="Times New Roman"/>
          <w:b w:val="false"/>
          <w:i/>
          <w:color w:val="000000"/>
          <w:sz w:val="24"/>
        </w:rPr>
        <w:t xml:space="preserve">Eligibility based on countable household income level. </w:t>
      </w:r>
      <w:r>
        <w:rPr>
          <w:rFonts w:ascii="Times New Roman" w:hAnsi="Times New Roman"/>
          <w:b w:val="false"/>
          <w:i w:val="false"/>
          <w:color w:val="000000"/>
          <w:sz w:val="24"/>
        </w:rPr>
        <w:t>Eligibility will be based on the prospective account holder’s household income for the calendar year preceding the calendar year in which the IDA will be opened. The household income shall not exceed 200 percent of the federal poverty level as published in the same year. If an account holder’s household income exceeds 200 percent of the federal poverty level in any subsequent year following the year that the account holder established the account, the account will remain open, but the account holder will not be eligible to receive the state savings match payment for deposits made during the year following the year when the household income exceeds 200 percent of the federal poverty level. If the prospective account holder files an income tax return on a fiscal year basis, the household income must nonetheless be computed on a calendar year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64.3(2)</w:t>
      </w:r>
      <w:r>
        <w:rPr>
          <w:rFonts w:ascii="Times New Roman" w:hAnsi="Times New Roman"/>
          <w:b w:val="false"/>
          <w:i w:val="false"/>
          <w:color w:val="000000"/>
          <w:sz w:val="24"/>
        </w:rPr>
        <w:t> </w:t>
      </w:r>
      <w:r>
        <w:rPr>
          <w:rFonts w:ascii="Times New Roman" w:hAnsi="Times New Roman"/>
          <w:b w:val="false"/>
          <w:i/>
          <w:color w:val="000000"/>
          <w:sz w:val="24"/>
        </w:rPr>
        <w:t xml:space="preserve">Countable household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household’s countable income shall be the Iowa net income as defined in Iowa Code section </w:t>
      </w:r>
      <w:hyperlink r:id="rId9">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with the following inclusions and exclusions: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Inclusions to the extent not already included in Iowa net income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Capital gains.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Alimony.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Child support money.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Cash public assistance and relief, except property tax relief under Iowa Code chapter </w:t>
      </w:r>
      <w:hyperlink r:id="rId10">
        <w:r>
          <w:rPr>
            <w:rStyle w:val="Hyperlink"/>
            <w:rFonts w:ascii="Times New Roman" w:hAnsi="Times New Roman"/>
            <w:b w:val="false"/>
            <w:i w:val="false"/>
            <w:color w:val="000000"/>
            <w:sz w:val="24"/>
          </w:rPr>
          <w:t>425</w:t>
        </w:r>
      </w:hyperlink>
      <w:r>
        <w:rPr>
          <w:rFonts w:ascii="Times New Roman" w:hAnsi="Times New Roman"/>
          <w:b w:val="false"/>
          <w:i w:val="false"/>
          <w:color w:val="000000"/>
          <w:sz w:val="24"/>
        </w:rPr>
        <w:t>, subchapter II.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gross payment amount of any pension or annuity, including but not limited to railroad retirement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Military retirement and veterans’ disability pensions.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Interest received from local, state or federal government securities.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gross amount of disability income or “loss of time”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Exclusions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Gifts from nongovernmental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Surplus foods, including food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Payments received by an individual under the age of 18 under the federal Social Security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in-kind relief supplied by a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Income shall not be reduced by either a net operating loss carryover or by a capital loss carryover.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64.3(3)</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income status and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lieu of calculating countable household income as provided in subrule </w:t>
      </w:r>
      <w:hyperlink r:id="rId11">
        <w:r>
          <w:rPr>
            <w:rStyle w:val="Hyperlink"/>
            <w:rFonts w:ascii="Times New Roman" w:hAnsi="Times New Roman"/>
            <w:b w:val="false"/>
            <w:i w:val="false"/>
            <w:color w:val="000000"/>
            <w:sz w:val="24"/>
          </w:rPr>
          <w:t>64.3(2)</w:t>
        </w:r>
      </w:hyperlink>
      <w:r>
        <w:rPr>
          <w:rFonts w:ascii="Times New Roman" w:hAnsi="Times New Roman"/>
          <w:b w:val="false"/>
          <w:i w:val="false"/>
          <w:color w:val="000000"/>
          <w:sz w:val="24"/>
        </w:rPr>
        <w:t xml:space="preserve"> to determine income status and eligibility of an individual to hold an IDA, the operating organization may use evidence of an individual’s enrollment in a program with income eligibility restrictions that are equal to or less than the maximum household income provided in subrule </w:t>
      </w:r>
      <w:hyperlink r:id="rId12">
        <w:r>
          <w:rPr>
            <w:rStyle w:val="Hyperlink"/>
            <w:rFonts w:ascii="Times New Roman" w:hAnsi="Times New Roman"/>
            <w:b w:val="false"/>
            <w:i w:val="false"/>
            <w:color w:val="000000"/>
            <w:sz w:val="24"/>
          </w:rPr>
          <w:t>64.3(1)</w:t>
        </w:r>
      </w:hyperlink>
      <w:r>
        <w:rPr>
          <w:rFonts w:ascii="Times New Roman" w:hAnsi="Times New Roman"/>
          <w:b w:val="false"/>
          <w:i w:val="false"/>
          <w:color w:val="000000"/>
          <w:sz w:val="24"/>
        </w:rPr>
        <w:t xml:space="preserve"> as sufficient for determining the individual’s eligibility to hold an IDA.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order to determine the amount of countable household income of an individual seeking to open an IDA and to maintain household income records on an annual basis, the operating organization shall use any of the following methods or other methods deemed appropriate by the operating organization to obtain accurate income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operating organization shall ask both the individual who wishes to establish an IDA and other members of the individual’s household who have filed federal or state income tax returns to furnish a copy of the returns with attached W-2 statements and to sign a release of information form permitting the operating organization to receive from the Iowa department of revenue summary information indicating the Iowa net income or to receive a copy of the state income tax return for the specific calendar year used to establish income eligibility to participate in the IDA program and for specified successive calendar years during which the IDA account is open. The operating organization shall protect the confidentiality of this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individual and members of the individual’s household have not filed federal or state income tax returns for the calendar year used to determine eligibility, the operating organization shall ask the individual to provide copies of available financial records of the household to determine the amount of countable income for the calendar year used to determine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operating organization may also ask the individual seeking to hold an IDA to sign a release of information form allowing the operating organization to obtain individual and household income records held by agencies administering the programs referred to in paragraph </w:t>
      </w:r>
      <w:hyperlink r:id="rId13">
        <w:r>
          <w:rPr>
            <w:rStyle w:val="Hyperlink"/>
            <w:rFonts w:ascii="Times New Roman" w:hAnsi="Times New Roman"/>
            <w:b w:val="false"/>
            <w:i w:val="false"/>
            <w:color w:val="000000"/>
            <w:sz w:val="24"/>
          </w:rPr>
          <w:t>64.3(3)</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operating organization shall use this information to verify and maintain household income records of individuals seeking to hold an IDA, thereby facilitating the administration of the IDA program. The operating organization shall maintain the confidentiality of this information. Countable household income determinations shall include the amount of the cash assistance provided through the programs referred to in paragraph </w:t>
      </w:r>
      <w:hyperlink r:id="rId14">
        <w:r>
          <w:rPr>
            <w:rStyle w:val="Hyperlink"/>
            <w:rFonts w:ascii="Times New Roman" w:hAnsi="Times New Roman"/>
            <w:b w:val="false"/>
            <w:i w:val="false"/>
            <w:color w:val="000000"/>
            <w:sz w:val="24"/>
          </w:rPr>
          <w:t>64.3(3)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individual has minimal or no financial records and the operating organization determines that the totality of the individual’s circumstances corroborates a credible explanation for the absence of said records, the operating organization may accept a written self-declaration from the individual as sufficient to document initial income eligibility to hold an IDA.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operating organization shall obtain and maintain income information records from an account holder and all members of the account holder’s family on a yearly basis to determine continued IDA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64.3(4)</w:t>
      </w:r>
      <w:r>
        <w:rPr>
          <w:rFonts w:ascii="Times New Roman" w:hAnsi="Times New Roman"/>
          <w:b w:val="false"/>
          <w:i w:val="false"/>
          <w:color w:val="000000"/>
          <w:sz w:val="24"/>
        </w:rPr>
        <w:t> </w:t>
      </w:r>
      <w:r>
        <w:rPr>
          <w:rFonts w:ascii="Times New Roman" w:hAnsi="Times New Roman"/>
          <w:b w:val="false"/>
          <w:i/>
          <w:color w:val="000000"/>
          <w:sz w:val="24"/>
        </w:rPr>
        <w:t xml:space="preserve">Exemption from income tax for income earned on assets in an IDA. </w:t>
      </w:r>
      <w:r>
        <w:rPr>
          <w:rFonts w:ascii="Times New Roman" w:hAnsi="Times New Roman"/>
          <w:b w:val="false"/>
          <w:i w:val="false"/>
          <w:color w:val="000000"/>
          <w:sz w:val="24"/>
        </w:rPr>
        <w:t>Income earned on principal in an IDA will be exempt from state income tax even if the account holder’s household income is greater than 200 percent of the federal poverty level for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64.3(5)</w:t>
      </w:r>
      <w:r>
        <w:rPr>
          <w:rFonts w:ascii="Times New Roman" w:hAnsi="Times New Roman"/>
          <w:b w:val="false"/>
          <w:i w:val="false"/>
          <w:color w:val="000000"/>
          <w:sz w:val="24"/>
        </w:rPr>
        <w:t> </w:t>
      </w:r>
      <w:r>
        <w:rPr>
          <w:rFonts w:ascii="Times New Roman" w:hAnsi="Times New Roman"/>
          <w:b w:val="false"/>
          <w:i/>
          <w:color w:val="000000"/>
          <w:sz w:val="24"/>
        </w:rPr>
        <w:t xml:space="preserve">State match payments. </w:t>
      </w:r>
      <w:r>
        <w:rPr>
          <w:rFonts w:ascii="Times New Roman" w:hAnsi="Times New Roman"/>
          <w:b w:val="false"/>
          <w:i w:val="false"/>
          <w:color w:val="000000"/>
          <w:sz w:val="24"/>
        </w:rPr>
        <w:t>The operating organization shall determine the account holder’s countable household income and account deposits on an annual basis for the purpose of computing the state match payment. The operating organization shall file with the department a claim for a state match payment on behalf of the account holder by April 30 of the year following the year in which the account holder made deposits into the IDA. The claim shall be filed on a form provided by the department. The department will make a payment of a savings match on a 1:1 ratio on amounts of up to $2,000 that an eligible account holder deposited in the account holder’s account the previous year. The total state savings match for all years shall not exceed $2,000 for any IDA. Neither the moneys transferred to an IDA from another IDA nor the state match received by the account holder pursuant to this subrule will be considered an account holder deposit for purposes of determining a state match payment. The department or operating organization shall make the state match payment directly to the IDA in the manner deemed appropriate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64.3(6)</w:t>
      </w:r>
      <w:r>
        <w:rPr>
          <w:rFonts w:ascii="Times New Roman" w:hAnsi="Times New Roman"/>
          <w:b w:val="false"/>
          <w:i w:val="false"/>
          <w:color w:val="000000"/>
          <w:sz w:val="24"/>
        </w:rPr>
        <w:t> </w:t>
      </w:r>
      <w:r>
        <w:rPr>
          <w:rFonts w:ascii="Times New Roman" w:hAnsi="Times New Roman"/>
          <w:b w:val="false"/>
          <w:i/>
          <w:color w:val="000000"/>
          <w:sz w:val="24"/>
        </w:rPr>
        <w:t xml:space="preserve">Tax implications. </w:t>
      </w:r>
      <w:r>
        <w:rPr>
          <w:rFonts w:ascii="Times New Roman" w:hAnsi="Times New Roman"/>
          <w:b w:val="false"/>
          <w:i w:val="false"/>
          <w:color w:val="000000"/>
          <w:sz w:val="24"/>
        </w:rPr>
        <w:t xml:space="preserve">IDAs shall be subject to rule </w:t>
      </w:r>
      <w:hyperlink r:id="rId15">
        <w:r>
          <w:rPr>
            <w:rStyle w:val="Hyperlink"/>
            <w:rFonts w:ascii="Times New Roman" w:hAnsi="Times New Roman"/>
            <w:b w:val="false"/>
            <w:i w:val="false"/>
            <w:color w:val="000000"/>
            <w:sz w:val="24"/>
          </w:rPr>
          <w:t>701—302.44</w:t>
        </w:r>
      </w:hyperlink>
      <w:r>
        <w:rPr>
          <w:rFonts w:ascii="Times New Roman" w:hAnsi="Times New Roman"/>
          <w:b w:val="false"/>
          <w:i w:val="false"/>
          <w:color w:val="000000"/>
          <w:sz w:val="24"/>
        </w:rPr>
        <w:t>(422,541A).</w:t>
      </w:r>
    </w:p>
    <w:p>
      <w:pPr>
        <w:spacing w:before="0" w:after="0" w:line="480"/>
        <w:ind w:left="120"/>
        <w:jc w:val="both"/>
      </w:pPr>
      <w:r>
        <w:rPr>
          <w:rFonts w:ascii="Times New Roman" w:hAnsi="Times New Roman"/>
          <w:b/>
          <w:i w:val="false"/>
          <w:color w:val="000000"/>
          <w:sz w:val="24"/>
        </w:rPr>
        <w:t>441—64.4</w:t>
      </w:r>
      <w:r>
        <w:rPr>
          <w:rFonts w:ascii="Times New Roman" w:hAnsi="Times New Roman"/>
          <w:b/>
          <w:i w:val="false"/>
          <w:color w:val="000000"/>
          <w:sz w:val="24"/>
        </w:rPr>
        <w:t xml:space="preserve">(541A) </w:t>
      </w:r>
      <w:r>
        <w:rPr>
          <w:rFonts w:ascii="Times New Roman" w:hAnsi="Times New Roman"/>
          <w:b/>
          <w:i w:val="false"/>
          <w:color w:val="000000"/>
          <w:sz w:val="24"/>
        </w:rPr>
        <w:t xml:space="preserve">Requests for proposals—operation of IDAs.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64.4(1)</w:t>
      </w:r>
      <w:r>
        <w:rPr>
          <w:rFonts w:ascii="Times New Roman" w:hAnsi="Times New Roman"/>
          <w:b w:val="false"/>
          <w:i w:val="false"/>
          <w:color w:val="000000"/>
          <w:sz w:val="24"/>
        </w:rPr>
        <w:t> </w:t>
      </w:r>
      <w:r>
        <w:rPr>
          <w:rFonts w:ascii="Times New Roman" w:hAnsi="Times New Roman"/>
          <w:b w:val="false"/>
          <w:i/>
          <w:color w:val="000000"/>
          <w:sz w:val="24"/>
        </w:rPr>
        <w:t xml:space="preserve">Issuance of requests for proposals. </w:t>
      </w:r>
      <w:r>
        <w:rPr>
          <w:rFonts w:ascii="Times New Roman" w:hAnsi="Times New Roman"/>
          <w:b w:val="false"/>
          <w:i w:val="false"/>
          <w:color w:val="000000"/>
          <w:sz w:val="24"/>
        </w:rPr>
        <w:t>The department may issue requests for proposals (RFPs) for operating organizations interested in operating an IDA program. The RFP will require the operating organization to provide information in its proposal regarding the financial institution that the operating organization will use for the proposed IDA program. The department will include such information in evaluating proposals submitted in response to the RFP.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64.4(2)</w:t>
      </w:r>
      <w:r>
        <w:rPr>
          <w:rFonts w:ascii="Times New Roman" w:hAnsi="Times New Roman"/>
          <w:b w:val="false"/>
          <w:i w:val="false"/>
          <w:color w:val="000000"/>
          <w:sz w:val="24"/>
        </w:rPr>
        <w:t> </w:t>
      </w:r>
      <w:r>
        <w:rPr>
          <w:rFonts w:ascii="Times New Roman" w:hAnsi="Times New Roman"/>
          <w:b w:val="false"/>
          <w:i/>
          <w:color w:val="000000"/>
          <w:sz w:val="24"/>
        </w:rPr>
        <w:t xml:space="preserve">Review criteria used to evaluate and select proposals responding to the RFP. </w:t>
      </w:r>
      <w:r>
        <w:rPr>
          <w:rFonts w:ascii="Times New Roman" w:hAnsi="Times New Roman"/>
          <w:b w:val="false"/>
          <w:i w:val="false"/>
          <w:color w:val="000000"/>
          <w:sz w:val="24"/>
        </w:rPr>
        <w:t>The department will evaluate and select proposals submitted by operating organizations in response to the RFP based upon but not limited to the criteria as provided in the RFP.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64.4(3)</w:t>
      </w:r>
      <w:r>
        <w:rPr>
          <w:rFonts w:ascii="Times New Roman" w:hAnsi="Times New Roman"/>
          <w:b w:val="false"/>
          <w:i w:val="false"/>
          <w:color w:val="000000"/>
          <w:sz w:val="24"/>
        </w:rPr>
        <w:t> </w:t>
      </w:r>
      <w:r>
        <w:rPr>
          <w:rFonts w:ascii="Times New Roman" w:hAnsi="Times New Roman"/>
          <w:b w:val="false"/>
          <w:i/>
          <w:color w:val="000000"/>
          <w:sz w:val="24"/>
        </w:rPr>
        <w:t xml:space="preserve">Other considerations and guidelines. </w:t>
      </w:r>
      <w:r>
        <w:rPr>
          <w:rFonts w:ascii="Times New Roman" w:hAnsi="Times New Roman"/>
          <w:b w:val="false"/>
          <w:i w:val="false"/>
          <w:color w:val="000000"/>
          <w:sz w:val="24"/>
        </w:rPr>
        <w:t>Other considerations and guidelines in implementing IDAs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shall have the authority to designate and limit the number of locations where IDA projects will be implemented, taking into account demographic characteristics and geographic considerations.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require all IDA operating organizations and projects to comply with any federal individual development account program requirements for drawing federal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and the operating organization shall enter into an agreement that specifies the responsibilities of both parties. The agreement will incorporate by reference the provisions of the RFP.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operating organization shall maintain a clear and precise audit trail of all deposits and withdrawals of funds in IDAs. All withdrawals from an IDA shall require a signature of approval from the operating organization. Upon the termination of the agreement between the operating organization and the department or upon the discontinuance of the IDA program for any reason, the IDA accounts under the management of that operating organization shall terminate and the funds in the IDAs shall be distributed to the account holders unless the operating organization and a successor operating organization located in the same geographic area and operating an IDA program approved by the department enter into an agreement for the transfer of IDA accounts to the successor operating organization. The department shall have authority to review and approve in advance the agreement between the two operating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the termination of an operating organization’s relationship with the financial institution holding its IDA accounts, the operating organization managing the accounts shall enter into an agreement with a department-approved successor financial institution to hold the accounts and shall arrange for the transfer of the accounts to the new financial institution. The new agreement shall be subject to the department’s review and advance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an account holder moves within the state to a location that is not served by the operating organization but is served by another operating organization with a department-approved IDA program, the original operating organization shall arrange for the transfer of the account to a financial institution that has an agreement with the operating organization in the new location. If there is no operating organization in the new location, the IDA account shall be closed, with funds in the account distributed to the account holder; alternatively, the operating organization and the account holder may jointly agree to maintain the account under the management of the existing operating organization and financial institution. The operating organization shall provide a written notification to the department of all transfers of IDA accounts to the management of a new operating organization.</w:t>
      </w:r>
    </w:p>
    <w:p>
      <w:pPr>
        <w:spacing w:before="0" w:after="0" w:line="480"/>
        <w:ind w:left="120"/>
        <w:jc w:val="both"/>
      </w:pPr>
      <w:r>
        <w:rPr>
          <w:rFonts w:ascii="Times New Roman" w:hAnsi="Times New Roman"/>
          <w:b/>
          <w:i w:val="false"/>
          <w:color w:val="000000"/>
          <w:sz w:val="24"/>
        </w:rPr>
        <w:t>441—64.5</w:t>
      </w:r>
      <w:r>
        <w:rPr>
          <w:rFonts w:ascii="Times New Roman" w:hAnsi="Times New Roman"/>
          <w:b/>
          <w:i w:val="false"/>
          <w:color w:val="000000"/>
          <w:sz w:val="24"/>
        </w:rPr>
        <w:t xml:space="preserve">(541A) </w:t>
      </w:r>
      <w:r>
        <w:rPr>
          <w:rFonts w:ascii="Times New Roman" w:hAnsi="Times New Roman"/>
          <w:b/>
          <w:i w:val="false"/>
          <w:color w:val="000000"/>
          <w:sz w:val="24"/>
        </w:rPr>
        <w:t xml:space="preserve">Authorized withdrawals of principal and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64.5(1)</w:t>
      </w:r>
      <w:r>
        <w:rPr>
          <w:rFonts w:ascii="Times New Roman" w:hAnsi="Times New Roman"/>
          <w:b w:val="false"/>
          <w:i w:val="false"/>
          <w:color w:val="000000"/>
          <w:sz w:val="24"/>
        </w:rPr>
        <w:t> </w:t>
      </w:r>
      <w:r>
        <w:rPr>
          <w:rFonts w:ascii="Times New Roman" w:hAnsi="Times New Roman"/>
          <w:b w:val="false"/>
          <w:i/>
          <w:color w:val="000000"/>
          <w:sz w:val="24"/>
        </w:rPr>
        <w:t xml:space="preserve">Approved purposes for withdrawal of funds from an IDA. </w:t>
      </w:r>
      <w:r>
        <w:rPr>
          <w:rFonts w:ascii="Times New Roman" w:hAnsi="Times New Roman"/>
          <w:b w:val="false"/>
          <w:i w:val="false"/>
          <w:color w:val="000000"/>
          <w:sz w:val="24"/>
        </w:rPr>
        <w:t xml:space="preserve">An account holder may withdraw principal and income earned on principal from an IDA only with the written approval of the operating organization and only for the purposes outlined in Iowa Code section </w:t>
      </w:r>
      <w:hyperlink r:id="rId16">
        <w:r>
          <w:rPr>
            <w:rStyle w:val="Hyperlink"/>
            <w:rFonts w:ascii="Times New Roman" w:hAnsi="Times New Roman"/>
            <w:b w:val="false"/>
            <w:i w:val="false"/>
            <w:color w:val="000000"/>
            <w:sz w:val="24"/>
          </w:rPr>
          <w:t>541A.2(4)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64.5(2)</w:t>
      </w:r>
      <w:r>
        <w:rPr>
          <w:rFonts w:ascii="Times New Roman" w:hAnsi="Times New Roman"/>
          <w:b w:val="false"/>
          <w:i w:val="false"/>
          <w:color w:val="000000"/>
          <w:sz w:val="24"/>
        </w:rPr>
        <w:t> </w:t>
      </w:r>
      <w:r>
        <w:rPr>
          <w:rFonts w:ascii="Times New Roman" w:hAnsi="Times New Roman"/>
          <w:b w:val="false"/>
          <w:i/>
          <w:color w:val="000000"/>
          <w:sz w:val="24"/>
        </w:rPr>
        <w:t xml:space="preserve">Conditions on withdrawals of principal and income. </w:t>
      </w:r>
      <w:r>
        <w:rPr>
          <w:rFonts w:ascii="Times New Roman" w:hAnsi="Times New Roman"/>
          <w:b w:val="false"/>
          <w:i w:val="false"/>
          <w:color w:val="000000"/>
          <w:sz w:val="24"/>
        </w:rPr>
        <w:t>An account holder may withdraw funds from the account holder’s IDA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amount of principal and income earned on principal, provided the sum is authorized under Iowa Code section </w:t>
      </w:r>
      <w:hyperlink r:id="rId17">
        <w:r>
          <w:rPr>
            <w:rStyle w:val="Hyperlink"/>
            <w:rFonts w:ascii="Times New Roman" w:hAnsi="Times New Roman"/>
            <w:b w:val="false"/>
            <w:i w:val="false"/>
            <w:color w:val="000000"/>
            <w:sz w:val="24"/>
          </w:rPr>
          <w:t>541A.2(4)</w:t>
        </w:r>
      </w:hyperlink>
      <w:r>
        <w:rPr>
          <w:rFonts w:ascii="Times New Roman" w:hAnsi="Times New Roman"/>
          <w:b w:val="false"/>
          <w:i w:val="false"/>
          <w:color w:val="000000"/>
          <w:sz w:val="24"/>
        </w:rPr>
        <w:t xml:space="preserve"> and in accordance with the procedure for authorized withdrawals set forth under subrule </w:t>
      </w:r>
      <w:hyperlink r:id="rId18">
        <w:r>
          <w:rPr>
            <w:rStyle w:val="Hyperlink"/>
            <w:rFonts w:ascii="Times New Roman" w:hAnsi="Times New Roman"/>
            <w:b w:val="false"/>
            <w:i w:val="false"/>
            <w:color w:val="000000"/>
            <w:sz w:val="24"/>
          </w:rPr>
          <w:t>64.5(3)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account holder is 59½ years of age or older, any amount of principal and income earned on principal. Such withdrawals shall not require the approval of the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64.5(3)</w:t>
      </w:r>
      <w:r>
        <w:rPr>
          <w:rFonts w:ascii="Times New Roman" w:hAnsi="Times New Roman"/>
          <w:b w:val="false"/>
          <w:i w:val="false"/>
          <w:color w:val="000000"/>
          <w:sz w:val="24"/>
        </w:rPr>
        <w:t> </w:t>
      </w:r>
      <w:r>
        <w:rPr>
          <w:rFonts w:ascii="Times New Roman" w:hAnsi="Times New Roman"/>
          <w:b w:val="false"/>
          <w:i/>
          <w:color w:val="000000"/>
          <w:sz w:val="24"/>
        </w:rPr>
        <w:t xml:space="preserve">Procedures for account holder deposits and withdrawals. </w:t>
      </w:r>
      <w:r>
        <w:rPr>
          <w:rFonts w:ascii="Times New Roman" w:hAnsi="Times New Roman"/>
          <w:b w:val="false"/>
          <w:i w:val="false"/>
          <w:color w:val="000000"/>
          <w:sz w:val="24"/>
        </w:rPr>
        <w:t>The operating organization and the financial institution shall agree upon and provide to account holders procedures to facilitate authorized withdrawals.</w:t>
      </w:r>
    </w:p>
    <w:p>
      <w:pPr>
        <w:spacing w:before="0" w:after="0" w:line="480"/>
        <w:ind w:left="120"/>
        <w:jc w:val="both"/>
      </w:pPr>
      <w:r>
        <w:rPr>
          <w:rFonts w:ascii="Times New Roman" w:hAnsi="Times New Roman"/>
          <w:b/>
          <w:i w:val="false"/>
          <w:color w:val="000000"/>
          <w:sz w:val="24"/>
        </w:rPr>
        <w:t>441—64.6</w:t>
      </w:r>
      <w:r>
        <w:rPr>
          <w:rFonts w:ascii="Times New Roman" w:hAnsi="Times New Roman"/>
          <w:b/>
          <w:i w:val="false"/>
          <w:color w:val="000000"/>
          <w:sz w:val="24"/>
        </w:rPr>
        <w:t xml:space="preserve">(541A) </w:t>
      </w:r>
      <w:r>
        <w:rPr>
          <w:rFonts w:ascii="Times New Roman" w:hAnsi="Times New Roman"/>
          <w:b/>
          <w:i w:val="false"/>
          <w:color w:val="000000"/>
          <w:sz w:val="24"/>
        </w:rPr>
        <w:t xml:space="preserve">Notice of nonapproved withdrawals and closure of the account.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64.6(1)</w:t>
      </w:r>
      <w:r>
        <w:rPr>
          <w:rFonts w:ascii="Times New Roman" w:hAnsi="Times New Roman"/>
          <w:b w:val="false"/>
          <w:i w:val="false"/>
          <w:color w:val="000000"/>
          <w:sz w:val="24"/>
        </w:rPr>
        <w:t> </w:t>
      </w:r>
      <w:r>
        <w:rPr>
          <w:rFonts w:ascii="Times New Roman" w:hAnsi="Times New Roman"/>
          <w:b w:val="false"/>
          <w:i/>
          <w:color w:val="000000"/>
          <w:sz w:val="24"/>
        </w:rPr>
        <w:t xml:space="preserve">Nonapproved withdrawals and attempted withdrawals for nonapproved purposes. </w:t>
      </w:r>
      <w:r>
        <w:rPr>
          <w:rFonts w:ascii="Times New Roman" w:hAnsi="Times New Roman"/>
          <w:b w:val="false"/>
          <w:i w:val="false"/>
          <w:color w:val="000000"/>
          <w:sz w:val="24"/>
        </w:rPr>
        <w:t>The financial institution shall notify the operating organization within five calendar days of any withdrawals or attempted withdrawals that appear to be nonapproved. The financial institution shall refuse to release any funds that do not have the written authorization of approval from the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64.6(2)</w:t>
      </w:r>
      <w:r>
        <w:rPr>
          <w:rFonts w:ascii="Times New Roman" w:hAnsi="Times New Roman"/>
          <w:b w:val="false"/>
          <w:i w:val="false"/>
          <w:color w:val="000000"/>
          <w:sz w:val="24"/>
        </w:rPr>
        <w:t> </w:t>
      </w:r>
      <w:r>
        <w:rPr>
          <w:rFonts w:ascii="Times New Roman" w:hAnsi="Times New Roman"/>
          <w:b w:val="false"/>
          <w:i/>
          <w:color w:val="000000"/>
          <w:sz w:val="24"/>
        </w:rPr>
        <w:t xml:space="preserve">Closure of an IDA by the operating organization. </w:t>
      </w:r>
      <w:r>
        <w:rPr>
          <w:rFonts w:ascii="Times New Roman" w:hAnsi="Times New Roman"/>
          <w:b w:val="false"/>
          <w:i w:val="false"/>
          <w:color w:val="000000"/>
          <w:sz w:val="24"/>
        </w:rPr>
        <w:t xml:space="preserve">The operating organization may close an IDA pursuant to Iowa Code section </w:t>
      </w:r>
      <w:hyperlink r:id="rId19">
        <w:r>
          <w:rPr>
            <w:rStyle w:val="Hyperlink"/>
            <w:rFonts w:ascii="Times New Roman" w:hAnsi="Times New Roman"/>
            <w:b w:val="false"/>
            <w:i w:val="false"/>
            <w:color w:val="000000"/>
            <w:sz w:val="24"/>
          </w:rPr>
          <w:t>541A.2(6)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441—64.7</w:t>
      </w:r>
      <w:r>
        <w:rPr>
          <w:rFonts w:ascii="Times New Roman" w:hAnsi="Times New Roman"/>
          <w:b/>
          <w:i w:val="false"/>
          <w:color w:val="000000"/>
          <w:sz w:val="24"/>
        </w:rPr>
        <w:t xml:space="preserve">(541A) </w:t>
      </w:r>
      <w:r>
        <w:rPr>
          <w:rFonts w:ascii="Times New Roman" w:hAnsi="Times New Roman"/>
          <w:b/>
          <w:i w:val="false"/>
          <w:color w:val="000000"/>
          <w:sz w:val="24"/>
        </w:rPr>
        <w:t xml:space="preserve">Transfers of assets of an IDA.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64.7(1)</w:t>
      </w:r>
      <w:r>
        <w:rPr>
          <w:rFonts w:ascii="Times New Roman" w:hAnsi="Times New Roman"/>
          <w:b w:val="false"/>
          <w:i w:val="false"/>
          <w:color w:val="000000"/>
          <w:sz w:val="24"/>
        </w:rPr>
        <w:t> </w:t>
      </w:r>
      <w:r>
        <w:rPr>
          <w:rFonts w:ascii="Times New Roman" w:hAnsi="Times New Roman"/>
          <w:b w:val="false"/>
          <w:i/>
          <w:color w:val="000000"/>
          <w:sz w:val="24"/>
        </w:rPr>
        <w:t xml:space="preserve">Transfers by an adult account holder. </w:t>
      </w:r>
      <w:r>
        <w:rPr>
          <w:rFonts w:ascii="Times New Roman" w:hAnsi="Times New Roman"/>
          <w:b w:val="false"/>
          <w:i w:val="false"/>
          <w:color w:val="000000"/>
          <w:sz w:val="24"/>
        </w:rPr>
        <w:t xml:space="preserve">An adult account holder may transfer all or part of the assets in the adult account holder’s IDA to any other account holder’s IDA. Upon compliance by the operating organization and financial institution with the requirements of rule </w:t>
      </w:r>
      <w:hyperlink r:id="rId20">
        <w:r>
          <w:rPr>
            <w:rStyle w:val="Hyperlink"/>
            <w:rFonts w:ascii="Times New Roman" w:hAnsi="Times New Roman"/>
            <w:b w:val="false"/>
            <w:i w:val="false"/>
            <w:color w:val="000000"/>
            <w:sz w:val="24"/>
          </w:rPr>
          <w:t>441—64.5</w:t>
        </w:r>
      </w:hyperlink>
      <w:r>
        <w:rPr>
          <w:rFonts w:ascii="Times New Roman" w:hAnsi="Times New Roman"/>
          <w:b w:val="false"/>
          <w:i w:val="false"/>
          <w:color w:val="000000"/>
          <w:sz w:val="24"/>
        </w:rPr>
        <w:t>(541A), IDA account holders who have transferred funds into another individual’s IDA account and any beneficiaries of the transferee’s IDA account shall sign a waiver of liability form releasing the operating organization and the financial institution from civil liability and responsibility for the wrongful withdrawals of funds by the account holder due to the account holder’s false representation of the purpose of the withdrawal, resulting in the loss to the account balance of deposited principal funds, including individual and charitable contributions, transferred funds, and the state match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64.7(2)</w:t>
      </w:r>
      <w:r>
        <w:rPr>
          <w:rFonts w:ascii="Times New Roman" w:hAnsi="Times New Roman"/>
          <w:b w:val="false"/>
          <w:i w:val="false"/>
          <w:color w:val="000000"/>
          <w:sz w:val="24"/>
        </w:rPr>
        <w:t> </w:t>
      </w:r>
      <w:r>
        <w:rPr>
          <w:rFonts w:ascii="Times New Roman" w:hAnsi="Times New Roman"/>
          <w:b w:val="false"/>
          <w:i/>
          <w:color w:val="000000"/>
          <w:sz w:val="24"/>
        </w:rPr>
        <w:t xml:space="preserve">No transfers of assets from a minor account holder’s IDA. </w:t>
      </w:r>
      <w:r>
        <w:rPr>
          <w:rFonts w:ascii="Times New Roman" w:hAnsi="Times New Roman"/>
          <w:b w:val="false"/>
          <w:i w:val="false"/>
          <w:color w:val="000000"/>
          <w:sz w:val="24"/>
        </w:rPr>
        <w:t>Neither a minor account holder nor the parents or legal guardian of such minor account holder shall have the right or ability to transfer assets from the minor account holder’s IDA to the IDA of any other account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64.7(3)</w:t>
      </w:r>
      <w:r>
        <w:rPr>
          <w:rFonts w:ascii="Times New Roman" w:hAnsi="Times New Roman"/>
          <w:b w:val="false"/>
          <w:i w:val="false"/>
          <w:color w:val="000000"/>
          <w:sz w:val="24"/>
        </w:rPr>
        <w:t> </w:t>
      </w:r>
      <w:r>
        <w:rPr>
          <w:rFonts w:ascii="Times New Roman" w:hAnsi="Times New Roman"/>
          <w:b w:val="false"/>
          <w:i/>
          <w:color w:val="000000"/>
          <w:sz w:val="24"/>
        </w:rPr>
        <w:t xml:space="preserve">Transfers when an account holder dies. </w:t>
      </w:r>
      <w:r>
        <w:rPr>
          <w:rFonts w:ascii="Times New Roman" w:hAnsi="Times New Roman"/>
          <w:b w:val="false"/>
          <w:i w:val="false"/>
          <w:color w:val="000000"/>
          <w:sz w:val="24"/>
        </w:rPr>
        <w:t>At the time an IDA is established, an account holder shall name a contingent beneficiary or contingent beneficiaries or an account holder transferee to whom the assets of the account holder’s IDA shall be transferred upon the account holder’s death. Upon the account holder’s death, the account assets shall be transferred to the named contingent beneficiary or contingent beneficiaries or to the account holder transferee’s IDA, as applicable. A named contingent beneficiary or contingent beneficiaries or account holder transferee may be changed at the discretion of the account holder. If the named contingent beneficiary or contingent beneficiaries or account holder transferee is deceased or otherwise does not accept the transfer, the assets of the deceased account holder’s IDA shall be transferred to the IDA state match fund.</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1">
        <w:r>
          <w:rPr>
            <w:rStyle w:val="Hyperlink"/>
            <w:rFonts w:ascii="Times New Roman" w:hAnsi="Times New Roman"/>
            <w:b w:val="false"/>
            <w:i w:val="false"/>
            <w:color w:val="000000"/>
            <w:sz w:val="24"/>
          </w:rPr>
          <w:t>541A</w:t>
        </w:r>
      </w:hyperlink>
      <w:r>
        <w:rPr>
          <w:rFonts w:ascii="Times New Roman" w:hAnsi="Times New Roman"/>
          <w:b w:val="false"/>
          <w:i w:val="false"/>
          <w:color w:val="000000"/>
          <w:sz w:val="24"/>
        </w:rPr>
        <w:t>.</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541A.1.pdf" Type="http://schemas.openxmlformats.org/officeDocument/2006/relationships/hyperlink" Id="rId5"/>
    <Relationship TargetMode="External" Target="https://www.legis.iowa.gov/docs/ico/chapter/541A.1.pdf" Type="http://schemas.openxmlformats.org/officeDocument/2006/relationships/hyperlink" Id="rId6"/>
    <Relationship TargetMode="External" Target="https://www.legis.iowa.gov/docs/ico/chapter/541A.2.pdf" Type="http://schemas.openxmlformats.org/officeDocument/2006/relationships/hyperlink" Id="rId7"/>
    <Relationship TargetMode="External" Target="https://www.legis.iowa.gov/docs/iac/rule/441.64.1.pdf" Type="http://schemas.openxmlformats.org/officeDocument/2006/relationships/hyperlink" Id="rId8"/>
    <Relationship TargetMode="External" Target="https://www.legis.iowa.gov/docs/ico/chapter/422.7.pdf" Type="http://schemas.openxmlformats.org/officeDocument/2006/relationships/hyperlink" Id="rId9"/>
    <Relationship TargetMode="External" Target="https://www.legis.iowa.gov/docs/ico/chapter/425.pdf" Type="http://schemas.openxmlformats.org/officeDocument/2006/relationships/hyperlink" Id="rId10"/>
    <Relationship TargetMode="External" Target="https://www.legis.iowa.gov/docs/iac/rule/441.64.3.pdf" Type="http://schemas.openxmlformats.org/officeDocument/2006/relationships/hyperlink" Id="rId11"/>
    <Relationship TargetMode="External" Target="https://www.legis.iowa.gov/docs/iac/rule/441.64.3.pdf" Type="http://schemas.openxmlformats.org/officeDocument/2006/relationships/hyperlink" Id="rId12"/>
    <Relationship TargetMode="External" Target="https://www.legis.iowa.gov/docs/iac/rule/441.64.3.pdf" Type="http://schemas.openxmlformats.org/officeDocument/2006/relationships/hyperlink" Id="rId13"/>
    <Relationship TargetMode="External" Target="https://www.legis.iowa.gov/docs/iac/rule/441.64.3.pdf" Type="http://schemas.openxmlformats.org/officeDocument/2006/relationships/hyperlink" Id="rId14"/>
    <Relationship TargetMode="External" Target="https://www.legis.iowa.gov/docs/iac/rule/701.302.44.pdf" Type="http://schemas.openxmlformats.org/officeDocument/2006/relationships/hyperlink" Id="rId15"/>
    <Relationship TargetMode="External" Target="https://www.legis.iowa.gov/docs/ico/chapter/541A.2.pdf" Type="http://schemas.openxmlformats.org/officeDocument/2006/relationships/hyperlink" Id="rId16"/>
    <Relationship TargetMode="External" Target="https://www.legis.iowa.gov/docs/ico/chapter/541A.2.pdf" Type="http://schemas.openxmlformats.org/officeDocument/2006/relationships/hyperlink" Id="rId17"/>
    <Relationship TargetMode="External" Target="https://www.legis.iowa.gov/docs/iac/rule/441.64.5.pdf" Type="http://schemas.openxmlformats.org/officeDocument/2006/relationships/hyperlink" Id="rId18"/>
    <Relationship TargetMode="External" Target="https://www.legis.iowa.gov/docs/ico/chapter/541A.2.pdf" Type="http://schemas.openxmlformats.org/officeDocument/2006/relationships/hyperlink" Id="rId19"/>
    <Relationship TargetMode="External" Target="https://www.legis.iowa.gov/docs/iac/rule/441.64.5.pdf" Type="http://schemas.openxmlformats.org/officeDocument/2006/relationships/hyperlink" Id="rId20"/>
    <Relationship TargetMode="External" Target="https://www.legis.iowa.gov/docs/ico/chapter/541A.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